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3: Build  ·  MSP Operational Readiness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Ecosystem Partner Plan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Identify the partners that fill gaps in your delivery or offer (NOC, security, connectivity, applications) and define how you will work together.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List the capability gaps a partner could fill.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Evaluate candidate partners against the criteria.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Agree commercial terms, SLAs, and escalation paths with each selected partner.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Partner candidates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76"/>
        <w:gridCol w:w="1576"/>
        <w:gridCol w:w="1576"/>
        <w:gridCol w:w="1576"/>
        <w:gridCol w:w="1576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Capability gap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Candidate partner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Commercial model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SLA alignment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Integration needs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Decision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24x7 NOC (L1–L2)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Wholesale NOC provider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Per device per month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Matches Standard tier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PSA ticket sync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Shortlist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Partner agreement checklist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Scope of services and responsibilities documented.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SLAs back-to-back with your customer SLAs.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Escalation paths and contacts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Data security and access controls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Pricing, billing, and payment terms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Joint review cadence scheduled.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B2, B4  ·  AMP UP! support: AMP UP! GTM Plan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36aceae7lxzles9ovamjy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playbook.partnerbusinessaccelerator.com/operations#partners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36aceae7lxzles9ovamjy" Type="http://schemas.openxmlformats.org/officeDocument/2006/relationships/hyperlink" Target="https://playbook.partnerbusinessaccelerator.com/operations#partner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Ecosystem Partner Plan</dc:title>
  <dc:creator>Extreme Networks | nVision Consulting Group</dc:creator>
  <dc:description>Identify the partners that fill gaps in your delivery or offer (NOC, security, connectivity, applications) and define how you will work together.</dc:description>
  <cp:lastModifiedBy>Un-named</cp:lastModifiedBy>
  <cp:revision>1</cp:revision>
  <dcterms:created xsi:type="dcterms:W3CDTF">2026-10-15T16:06:25.744Z</dcterms:created>
  <dcterms:modified xsi:type="dcterms:W3CDTF">2026-10-15T16:06:25.744Z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