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before="0" w:line="276" w:lineRule="auto"/>
      </w:pPr>
      <w:r>
        <w:rPr>
          <w:rFonts w:ascii="Arial" w:cs="Arial" w:eastAsia="Arial" w:hAnsi="Arial"/>
          <w:b/>
          <w:bCs/>
          <w:caps/>
          <w:color w:val="5B059C"/>
          <w:spacing w:val="20"/>
          <w:sz w:val="16"/>
          <w:szCs w:val="16"/>
        </w:rPr>
        <w:t xml:space="preserve">Phase 4: Launch  ·  GTM and Sales Acceleration Readiness  ·  Table 13 (expanded)</w:t>
      </w:r>
    </w:p>
    <w:p>
      <w:pPr>
        <w:spacing w:after="120" w:before="0" w:line="250" w:lineRule="auto"/>
      </w:pPr>
      <w:r>
        <w:rPr>
          <w:rFonts w:ascii="Arial" w:cs="Arial" w:eastAsia="Arial" w:hAnsi="Arial"/>
          <w:b/>
          <w:bCs/>
          <w:color w:val="1A1A1F"/>
          <w:sz w:val="40"/>
          <w:szCs w:val="40"/>
        </w:rPr>
        <w:t xml:space="preserve">Go-to-Market Plan and Routes to Market</w:t>
      </w:r>
    </w:p>
    <w:p>
      <w:pPr>
        <w:pBdr>
          <w:bottom w:val="single" w:color="E0409F" w:sz="18" w:space="1"/>
        </w:pBdr>
        <w:spacing w:after="160"/>
        <w:ind w:right="8680"/>
      </w:pPr>
      <w:r>
        <w:rPr>
          <w:rFonts w:ascii="Arial" w:cs="Arial" w:eastAsia="Arial" w:hAnsi="Arial"/>
          <w:color w:val="1A1A1F"/>
          <w:sz w:val="20"/>
          <w:szCs w:val="20"/>
        </w:rPr>
        <w:t xml:space="preserve"> </w:t>
      </w:r>
    </w:p>
    <w:p>
      <w:pPr>
        <w:spacing w:after="160" w:before="0" w:line="276" w:lineRule="auto"/>
      </w:pPr>
      <w:r>
        <w:rPr>
          <w:rFonts w:ascii="Arial" w:cs="Arial" w:eastAsia="Arial" w:hAnsi="Arial"/>
          <w:color w:val="1A1A1F"/>
          <w:sz w:val="21"/>
          <w:szCs w:val="21"/>
        </w:rPr>
        <w:t xml:space="preserve">Plan how each managed service reaches its target segments: routes to market, messaging, marketing, sales capacity, and launch milestones.</w:t>
      </w:r>
    </w:p>
    <w:p>
      <w:pPr>
        <w:keepNext/>
        <w:spacing w:after="60" w:before="0" w:line="276" w:lineRule="auto"/>
      </w:pPr>
      <w:r>
        <w:rPr>
          <w:rFonts w:ascii="Arial" w:cs="Arial" w:eastAsia="Arial" w:hAnsi="Arial"/>
          <w:b/>
          <w:bCs/>
          <w:color w:val="20004C"/>
          <w:sz w:val="20"/>
          <w:szCs w:val="20"/>
        </w:rPr>
        <w:t xml:space="preserve">How to use</w:t>
      </w:r>
    </w:p>
    <w:p>
      <w:pPr>
        <w:pStyle w:val="ListParagraph"/>
        <w:numPr>
          <w:ilvl w:val="0"/>
          <w:numId w:val="2"/>
        </w:numPr>
        <w:spacing w:after="40" w:before="0" w:line="276" w:lineRule="auto"/>
      </w:pPr>
      <w:r>
        <w:rPr>
          <w:rFonts w:ascii="Arial" w:cs="Arial" w:eastAsia="Arial" w:hAnsi="Arial"/>
          <w:color w:val="1A1A1F"/>
          <w:sz w:val="19"/>
          <w:szCs w:val="19"/>
        </w:rPr>
        <w:t xml:space="preserve">Complete the plan summary for each service.</w:t>
      </w:r>
    </w:p>
    <w:p>
      <w:pPr>
        <w:pStyle w:val="ListParagraph"/>
        <w:numPr>
          <w:ilvl w:val="0"/>
          <w:numId w:val="2"/>
        </w:numPr>
        <w:spacing w:after="40" w:before="0" w:line="276" w:lineRule="auto"/>
      </w:pPr>
      <w:r>
        <w:rPr>
          <w:rFonts w:ascii="Arial" w:cs="Arial" w:eastAsia="Arial" w:hAnsi="Arial"/>
          <w:color w:val="1A1A1F"/>
          <w:sz w:val="19"/>
          <w:szCs w:val="19"/>
        </w:rPr>
        <w:t xml:space="preserve">Choose routes to market per segment and answer the key considerations.</w:t>
      </w:r>
    </w:p>
    <w:p>
      <w:pPr>
        <w:pStyle w:val="ListParagraph"/>
        <w:numPr>
          <w:ilvl w:val="0"/>
          <w:numId w:val="2"/>
        </w:numPr>
        <w:spacing w:after="40" w:before="0" w:line="276" w:lineRule="auto"/>
      </w:pPr>
      <w:r>
        <w:rPr>
          <w:rFonts w:ascii="Arial" w:cs="Arial" w:eastAsia="Arial" w:hAnsi="Arial"/>
          <w:color w:val="1A1A1F"/>
          <w:sz w:val="19"/>
          <w:szCs w:val="19"/>
        </w:rPr>
        <w:t xml:space="preserve">Set launch milestones and review with your Extreme partner team.</w:t>
      </w:r>
    </w:p>
    <w:p>
      <w:pPr>
        <w:spacing w:after="60" w:before="100" w:line="276" w:lineRule="auto"/>
      </w:pPr>
      <w:r>
        <w:rPr>
          <w:rFonts w:ascii="Arial" w:cs="Arial" w:eastAsia="Arial" w:hAnsi="Arial"/>
          <w:color w:val="5D5D66"/>
          <w:sz w:val="17"/>
          <w:szCs w:val="17"/>
        </w:rPr>
        <w:t xml:space="preserve">Shaded cells are yours to complete. </w:t>
      </w:r>
      <w:r>
        <w:rPr>
          <w:rFonts w:ascii="Arial" w:cs="Arial" w:eastAsia="Arial" w:hAnsi="Arial"/>
          <w:i/>
          <w:iCs/>
          <w:color w:val="8A8A94"/>
          <w:sz w:val="17"/>
          <w:szCs w:val="17"/>
        </w:rPr>
        <w:t xml:space="preserve">Gray italic rows show an example.</w:t>
      </w:r>
    </w:p>
    <w:p>
      <w:pPr>
        <w:keepNext/>
        <w:spacing w:after="100" w:before="280" w:line="276" w:lineRule="auto"/>
      </w:pPr>
      <w:r>
        <w:rPr>
          <w:rFonts w:ascii="Arial" w:cs="Arial" w:eastAsia="Arial" w:hAnsi="Arial"/>
          <w:b/>
          <w:bCs/>
          <w:color w:val="20004C"/>
          <w:sz w:val="24"/>
          <w:szCs w:val="24"/>
        </w:rPr>
        <w:t xml:space="preserve">GTM plan summary</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300"/>
        <w:gridCol w:w="6780"/>
      </w:tblGrid>
      <w:tr>
        <w:trPr>
          <w:cantSplit/>
          <w:tblHeader/>
        </w:trPr>
        <w:tc>
          <w:tcPr>
            <w:tcW w:type="dxa" w:w="3300"/>
            <w:tcBorders>
              <w:top w:val="single" w:color="D9D6E0" w:sz="4"/>
              <w:left w:val="single" w:color="D9D6E0" w:sz="4"/>
              <w:bottom w:val="single" w:color="D9D6E0" w:sz="4"/>
              <w:right w:val="single" w:color="D9D6E0" w:sz="4"/>
            </w:tcBorders>
            <w:shd w:fill="20004C" w:color="auto" w:val="clear"/>
            <w:tcMar>
              <w:top w:type="dxa" w:w="70"/>
              <w:left w:type="dxa" w:w="110"/>
              <w:bottom w:type="dxa" w:w="70"/>
              <w:right w:type="dxa" w:w="110"/>
            </w:tcMar>
          </w:tcPr>
          <w:p>
            <w:pPr>
              <w:spacing w:after="0" w:before="0" w:line="276" w:lineRule="auto"/>
            </w:pPr>
            <w:r>
              <w:rPr>
                <w:rFonts w:ascii="Arial" w:cs="Arial" w:eastAsia="Arial" w:hAnsi="Arial"/>
                <w:b/>
                <w:bCs/>
                <w:color w:val="FFFFFF"/>
                <w:sz w:val="17"/>
                <w:szCs w:val="17"/>
              </w:rPr>
              <w:t xml:space="preserve">Item</w:t>
            </w:r>
          </w:p>
        </w:tc>
        <w:tc>
          <w:tcPr>
            <w:tcW w:type="dxa" w:w="6780"/>
            <w:tcBorders>
              <w:top w:val="single" w:color="D9D6E0" w:sz="4"/>
              <w:left w:val="single" w:color="D9D6E0" w:sz="4"/>
              <w:bottom w:val="single" w:color="D9D6E0" w:sz="4"/>
              <w:right w:val="single" w:color="D9D6E0" w:sz="4"/>
            </w:tcBorders>
            <w:shd w:fill="20004C" w:color="auto" w:val="clear"/>
            <w:tcMar>
              <w:top w:type="dxa" w:w="70"/>
              <w:left w:type="dxa" w:w="110"/>
              <w:bottom w:type="dxa" w:w="70"/>
              <w:right w:type="dxa" w:w="110"/>
            </w:tcMar>
          </w:tcPr>
          <w:p>
            <w:pPr>
              <w:spacing w:after="0" w:before="0" w:line="276" w:lineRule="auto"/>
            </w:pPr>
            <w:r>
              <w:rPr>
                <w:rFonts w:ascii="Arial" w:cs="Arial" w:eastAsia="Arial" w:hAnsi="Arial"/>
                <w:b/>
                <w:bCs/>
                <w:color w:val="FFFFFF"/>
                <w:sz w:val="17"/>
                <w:szCs w:val="17"/>
              </w:rPr>
              <w:t xml:space="preserve">Your entry</w:t>
            </w:r>
          </w:p>
        </w:tc>
      </w:tr>
      <w:tr>
        <w:trPr>
          <w:cantSplit/>
          <w:trHeight w:val="640" w:hRule="atLeast"/>
        </w:trPr>
        <w:tc>
          <w:tcPr>
            <w:tcW w:type="dxa" w:w="3300"/>
            <w:tcBorders>
              <w:top w:val="single" w:color="D9D6E0" w:sz="4"/>
              <w:left w:val="single" w:color="D9D6E0" w:sz="4"/>
              <w:bottom w:val="single" w:color="D9D6E0" w:sz="4"/>
              <w:right w:val="single" w:color="D9D6E0" w:sz="4"/>
            </w:tcBorders>
            <w:tcMar>
              <w:top w:type="dxa" w:w="70"/>
              <w:left w:type="dxa" w:w="110"/>
              <w:bottom w:type="dxa" w:w="70"/>
              <w:right w:type="dxa" w:w="110"/>
            </w:tcMar>
          </w:tcPr>
          <w:p>
            <w:pPr>
              <w:spacing w:after="0" w:before="0" w:line="276" w:lineRule="auto"/>
            </w:pPr>
            <w:r>
              <w:rPr>
                <w:rFonts w:ascii="Arial" w:cs="Arial" w:eastAsia="Arial" w:hAnsi="Arial"/>
                <w:b/>
                <w:bCs/>
                <w:color w:val="1A1A1F"/>
                <w:sz w:val="19"/>
                <w:szCs w:val="19"/>
              </w:rPr>
              <w:t xml:space="preserve">Service(s) launching</w:t>
            </w:r>
          </w:p>
        </w:tc>
        <w:tc>
          <w:tcPr>
            <w:tcW w:type="dxa" w:w="6780"/>
            <w:tcBorders>
              <w:top w:val="single" w:color="D9D6E0" w:sz="4"/>
              <w:left w:val="single" w:color="D9D6E0" w:sz="4"/>
              <w:bottom w:val="single" w:color="D9D6E0" w:sz="4"/>
              <w:right w:val="single" w:color="D9D6E0" w:sz="4"/>
            </w:tcBorders>
            <w:shd w:fill="FFF8E7" w:color="auto" w:val="clear"/>
            <w:tcMar>
              <w:top w:type="dxa" w:w="70"/>
              <w:left w:type="dxa" w:w="110"/>
              <w:bottom w:type="dxa" w:w="70"/>
              <w:right w:type="dxa" w:w="110"/>
            </w:tcMar>
          </w:tcPr>
          <w:p>
            <w:pPr>
              <w:spacing w:after="0" w:before="0" w:line="276" w:lineRule="auto"/>
            </w:pPr>
            <w:r>
              <w:rPr>
                <w:rFonts w:ascii="Arial" w:cs="Arial" w:eastAsia="Arial" w:hAnsi="Arial"/>
                <w:color w:val="1A1A1F"/>
                <w:sz w:val="20"/>
                <w:szCs w:val="20"/>
              </w:rPr>
              <w:t xml:space="preserve"/>
            </w:r>
          </w:p>
        </w:tc>
      </w:tr>
      <w:tr>
        <w:trPr>
          <w:cantSplit/>
          <w:trHeight w:val="640" w:hRule="atLeast"/>
        </w:trPr>
        <w:tc>
          <w:tcPr>
            <w:tcW w:type="dxa" w:w="3300"/>
            <w:tcBorders>
              <w:top w:val="single" w:color="D9D6E0" w:sz="4"/>
              <w:left w:val="single" w:color="D9D6E0" w:sz="4"/>
              <w:bottom w:val="single" w:color="D9D6E0" w:sz="4"/>
              <w:right w:val="single" w:color="D9D6E0" w:sz="4"/>
            </w:tcBorders>
            <w:tcMar>
              <w:top w:type="dxa" w:w="70"/>
              <w:left w:type="dxa" w:w="110"/>
              <w:bottom w:type="dxa" w:w="70"/>
              <w:right w:type="dxa" w:w="110"/>
            </w:tcMar>
          </w:tcPr>
          <w:p>
            <w:pPr>
              <w:spacing w:after="0" w:before="0" w:line="276" w:lineRule="auto"/>
            </w:pPr>
            <w:r>
              <w:rPr>
                <w:rFonts w:ascii="Arial" w:cs="Arial" w:eastAsia="Arial" w:hAnsi="Arial"/>
                <w:b/>
                <w:bCs/>
                <w:color w:val="1A1A1F"/>
                <w:sz w:val="19"/>
                <w:szCs w:val="19"/>
              </w:rPr>
              <w:t xml:space="preserve">Target segments and personas</w:t>
            </w:r>
          </w:p>
        </w:tc>
        <w:tc>
          <w:tcPr>
            <w:tcW w:type="dxa" w:w="6780"/>
            <w:tcBorders>
              <w:top w:val="single" w:color="D9D6E0" w:sz="4"/>
              <w:left w:val="single" w:color="D9D6E0" w:sz="4"/>
              <w:bottom w:val="single" w:color="D9D6E0" w:sz="4"/>
              <w:right w:val="single" w:color="D9D6E0" w:sz="4"/>
            </w:tcBorders>
            <w:shd w:fill="FFF8E7" w:color="auto" w:val="clear"/>
            <w:tcMar>
              <w:top w:type="dxa" w:w="70"/>
              <w:left w:type="dxa" w:w="110"/>
              <w:bottom w:type="dxa" w:w="70"/>
              <w:right w:type="dxa" w:w="110"/>
            </w:tcMar>
          </w:tcPr>
          <w:p>
            <w:pPr>
              <w:spacing w:after="0" w:before="0" w:line="276" w:lineRule="auto"/>
            </w:pPr>
            <w:r>
              <w:rPr>
                <w:rFonts w:ascii="Arial" w:cs="Arial" w:eastAsia="Arial" w:hAnsi="Arial"/>
                <w:color w:val="1A1A1F"/>
                <w:sz w:val="20"/>
                <w:szCs w:val="20"/>
              </w:rPr>
              <w:t xml:space="preserve"/>
            </w:r>
          </w:p>
        </w:tc>
      </w:tr>
      <w:tr>
        <w:trPr>
          <w:cantSplit/>
          <w:trHeight w:val="640" w:hRule="atLeast"/>
        </w:trPr>
        <w:tc>
          <w:tcPr>
            <w:tcW w:type="dxa" w:w="3300"/>
            <w:tcBorders>
              <w:top w:val="single" w:color="D9D6E0" w:sz="4"/>
              <w:left w:val="single" w:color="D9D6E0" w:sz="4"/>
              <w:bottom w:val="single" w:color="D9D6E0" w:sz="4"/>
              <w:right w:val="single" w:color="D9D6E0" w:sz="4"/>
            </w:tcBorders>
            <w:tcMar>
              <w:top w:type="dxa" w:w="70"/>
              <w:left w:type="dxa" w:w="110"/>
              <w:bottom w:type="dxa" w:w="70"/>
              <w:right w:type="dxa" w:w="110"/>
            </w:tcMar>
          </w:tcPr>
          <w:p>
            <w:pPr>
              <w:spacing w:after="30" w:before="0" w:line="276" w:lineRule="auto"/>
            </w:pPr>
            <w:r>
              <w:rPr>
                <w:rFonts w:ascii="Arial" w:cs="Arial" w:eastAsia="Arial" w:hAnsi="Arial"/>
                <w:b/>
                <w:bCs/>
                <w:color w:val="1A1A1F"/>
                <w:sz w:val="19"/>
                <w:szCs w:val="19"/>
              </w:rPr>
              <w:t xml:space="preserve">Value proposition and key messages</w:t>
            </w:r>
          </w:p>
          <w:p>
            <w:pPr>
              <w:spacing w:after="0" w:before="0" w:line="276" w:lineRule="auto"/>
            </w:pPr>
            <w:r>
              <w:rPr>
                <w:rFonts w:ascii="Arial" w:cs="Arial" w:eastAsia="Arial" w:hAnsi="Arial"/>
                <w:i/>
                <w:iCs/>
                <w:color w:val="5D5D66"/>
                <w:sz w:val="16"/>
                <w:szCs w:val="16"/>
              </w:rPr>
              <w:t xml:space="preserve">From your UVP.</w:t>
            </w:r>
          </w:p>
        </w:tc>
        <w:tc>
          <w:tcPr>
            <w:tcW w:type="dxa" w:w="6780"/>
            <w:tcBorders>
              <w:top w:val="single" w:color="D9D6E0" w:sz="4"/>
              <w:left w:val="single" w:color="D9D6E0" w:sz="4"/>
              <w:bottom w:val="single" w:color="D9D6E0" w:sz="4"/>
              <w:right w:val="single" w:color="D9D6E0" w:sz="4"/>
            </w:tcBorders>
            <w:shd w:fill="FFF8E7" w:color="auto" w:val="clear"/>
            <w:tcMar>
              <w:top w:type="dxa" w:w="70"/>
              <w:left w:type="dxa" w:w="110"/>
              <w:bottom w:type="dxa" w:w="70"/>
              <w:right w:type="dxa" w:w="110"/>
            </w:tcMar>
          </w:tcPr>
          <w:p>
            <w:pPr>
              <w:spacing w:after="0" w:before="0" w:line="276" w:lineRule="auto"/>
            </w:pPr>
            <w:r>
              <w:rPr>
                <w:rFonts w:ascii="Arial" w:cs="Arial" w:eastAsia="Arial" w:hAnsi="Arial"/>
                <w:color w:val="1A1A1F"/>
                <w:sz w:val="20"/>
                <w:szCs w:val="20"/>
              </w:rPr>
              <w:t xml:space="preserve"/>
            </w:r>
          </w:p>
        </w:tc>
      </w:tr>
      <w:tr>
        <w:trPr>
          <w:cantSplit/>
          <w:trHeight w:val="640" w:hRule="atLeast"/>
        </w:trPr>
        <w:tc>
          <w:tcPr>
            <w:tcW w:type="dxa" w:w="3300"/>
            <w:tcBorders>
              <w:top w:val="single" w:color="D9D6E0" w:sz="4"/>
              <w:left w:val="single" w:color="D9D6E0" w:sz="4"/>
              <w:bottom w:val="single" w:color="D9D6E0" w:sz="4"/>
              <w:right w:val="single" w:color="D9D6E0" w:sz="4"/>
            </w:tcBorders>
            <w:tcMar>
              <w:top w:type="dxa" w:w="70"/>
              <w:left w:type="dxa" w:w="110"/>
              <w:bottom w:type="dxa" w:w="70"/>
              <w:right w:type="dxa" w:w="110"/>
            </w:tcMar>
          </w:tcPr>
          <w:p>
            <w:pPr>
              <w:spacing w:after="30" w:before="0" w:line="276" w:lineRule="auto"/>
            </w:pPr>
            <w:r>
              <w:rPr>
                <w:rFonts w:ascii="Arial" w:cs="Arial" w:eastAsia="Arial" w:hAnsi="Arial"/>
                <w:b/>
                <w:bCs/>
                <w:color w:val="1A1A1F"/>
                <w:sz w:val="19"/>
                <w:szCs w:val="19"/>
              </w:rPr>
              <w:t xml:space="preserve">Routes to market</w:t>
            </w:r>
          </w:p>
          <w:p>
            <w:pPr>
              <w:spacing w:after="0" w:before="0" w:line="276" w:lineRule="auto"/>
            </w:pPr>
            <w:r>
              <w:rPr>
                <w:rFonts w:ascii="Arial" w:cs="Arial" w:eastAsia="Arial" w:hAnsi="Arial"/>
                <w:i/>
                <w:iCs/>
                <w:color w:val="5D5D66"/>
                <w:sz w:val="16"/>
                <w:szCs w:val="16"/>
              </w:rPr>
              <w:t xml:space="preserve">Self-service / digital, inside or outside sales, channels and agents.</w:t>
            </w:r>
          </w:p>
        </w:tc>
        <w:tc>
          <w:tcPr>
            <w:tcW w:type="dxa" w:w="6780"/>
            <w:tcBorders>
              <w:top w:val="single" w:color="D9D6E0" w:sz="4"/>
              <w:left w:val="single" w:color="D9D6E0" w:sz="4"/>
              <w:bottom w:val="single" w:color="D9D6E0" w:sz="4"/>
              <w:right w:val="single" w:color="D9D6E0" w:sz="4"/>
            </w:tcBorders>
            <w:shd w:fill="FFF8E7" w:color="auto" w:val="clear"/>
            <w:tcMar>
              <w:top w:type="dxa" w:w="70"/>
              <w:left w:type="dxa" w:w="110"/>
              <w:bottom w:type="dxa" w:w="70"/>
              <w:right w:type="dxa" w:w="110"/>
            </w:tcMar>
          </w:tcPr>
          <w:p>
            <w:pPr>
              <w:spacing w:after="0" w:before="0" w:line="276" w:lineRule="auto"/>
            </w:pPr>
            <w:r>
              <w:rPr>
                <w:rFonts w:ascii="Arial" w:cs="Arial" w:eastAsia="Arial" w:hAnsi="Arial"/>
                <w:color w:val="1A1A1F"/>
                <w:sz w:val="20"/>
                <w:szCs w:val="20"/>
              </w:rPr>
              <w:t xml:space="preserve"/>
            </w:r>
          </w:p>
        </w:tc>
      </w:tr>
      <w:tr>
        <w:trPr>
          <w:cantSplit/>
          <w:trHeight w:val="640" w:hRule="atLeast"/>
        </w:trPr>
        <w:tc>
          <w:tcPr>
            <w:tcW w:type="dxa" w:w="3300"/>
            <w:tcBorders>
              <w:top w:val="single" w:color="D9D6E0" w:sz="4"/>
              <w:left w:val="single" w:color="D9D6E0" w:sz="4"/>
              <w:bottom w:val="single" w:color="D9D6E0" w:sz="4"/>
              <w:right w:val="single" w:color="D9D6E0" w:sz="4"/>
            </w:tcBorders>
            <w:tcMar>
              <w:top w:type="dxa" w:w="70"/>
              <w:left w:type="dxa" w:w="110"/>
              <w:bottom w:type="dxa" w:w="70"/>
              <w:right w:type="dxa" w:w="110"/>
            </w:tcMar>
          </w:tcPr>
          <w:p>
            <w:pPr>
              <w:spacing w:after="0" w:before="0" w:line="276" w:lineRule="auto"/>
            </w:pPr>
            <w:r>
              <w:rPr>
                <w:rFonts w:ascii="Arial" w:cs="Arial" w:eastAsia="Arial" w:hAnsi="Arial"/>
                <w:b/>
                <w:bCs/>
                <w:color w:val="1A1A1F"/>
                <w:sz w:val="19"/>
                <w:szCs w:val="19"/>
              </w:rPr>
              <w:t xml:space="preserve">Pricing and offers</w:t>
            </w:r>
          </w:p>
        </w:tc>
        <w:tc>
          <w:tcPr>
            <w:tcW w:type="dxa" w:w="6780"/>
            <w:tcBorders>
              <w:top w:val="single" w:color="D9D6E0" w:sz="4"/>
              <w:left w:val="single" w:color="D9D6E0" w:sz="4"/>
              <w:bottom w:val="single" w:color="D9D6E0" w:sz="4"/>
              <w:right w:val="single" w:color="D9D6E0" w:sz="4"/>
            </w:tcBorders>
            <w:shd w:fill="FFF8E7" w:color="auto" w:val="clear"/>
            <w:tcMar>
              <w:top w:type="dxa" w:w="70"/>
              <w:left w:type="dxa" w:w="110"/>
              <w:bottom w:type="dxa" w:w="70"/>
              <w:right w:type="dxa" w:w="110"/>
            </w:tcMar>
          </w:tcPr>
          <w:p>
            <w:pPr>
              <w:spacing w:after="0" w:before="0" w:line="276" w:lineRule="auto"/>
            </w:pPr>
            <w:r>
              <w:rPr>
                <w:rFonts w:ascii="Arial" w:cs="Arial" w:eastAsia="Arial" w:hAnsi="Arial"/>
                <w:color w:val="1A1A1F"/>
                <w:sz w:val="20"/>
                <w:szCs w:val="20"/>
              </w:rPr>
              <w:t xml:space="preserve"/>
            </w:r>
          </w:p>
        </w:tc>
      </w:tr>
      <w:tr>
        <w:trPr>
          <w:cantSplit/>
          <w:trHeight w:val="640" w:hRule="atLeast"/>
        </w:trPr>
        <w:tc>
          <w:tcPr>
            <w:tcW w:type="dxa" w:w="3300"/>
            <w:tcBorders>
              <w:top w:val="single" w:color="D9D6E0" w:sz="4"/>
              <w:left w:val="single" w:color="D9D6E0" w:sz="4"/>
              <w:bottom w:val="single" w:color="D9D6E0" w:sz="4"/>
              <w:right w:val="single" w:color="D9D6E0" w:sz="4"/>
            </w:tcBorders>
            <w:tcMar>
              <w:top w:type="dxa" w:w="70"/>
              <w:left w:type="dxa" w:w="110"/>
              <w:bottom w:type="dxa" w:w="70"/>
              <w:right w:type="dxa" w:w="110"/>
            </w:tcMar>
          </w:tcPr>
          <w:p>
            <w:pPr>
              <w:spacing w:after="30" w:before="0" w:line="276" w:lineRule="auto"/>
            </w:pPr>
            <w:r>
              <w:rPr>
                <w:rFonts w:ascii="Arial" w:cs="Arial" w:eastAsia="Arial" w:hAnsi="Arial"/>
                <w:b/>
                <w:bCs/>
                <w:color w:val="1A1A1F"/>
                <w:sz w:val="19"/>
                <w:szCs w:val="19"/>
              </w:rPr>
              <w:t xml:space="preserve">Marketing plan</w:t>
            </w:r>
          </w:p>
          <w:p>
            <w:pPr>
              <w:spacing w:after="0" w:before="0" w:line="276" w:lineRule="auto"/>
            </w:pPr>
            <w:r>
              <w:rPr>
                <w:rFonts w:ascii="Arial" w:cs="Arial" w:eastAsia="Arial" w:hAnsi="Arial"/>
                <w:i/>
                <w:iCs/>
                <w:color w:val="5D5D66"/>
                <w:sz w:val="16"/>
                <w:szCs w:val="16"/>
              </w:rPr>
              <w:t xml:space="preserve">Campaigns, events, content, and Extreme co-marketing.</w:t>
            </w:r>
          </w:p>
        </w:tc>
        <w:tc>
          <w:tcPr>
            <w:tcW w:type="dxa" w:w="6780"/>
            <w:tcBorders>
              <w:top w:val="single" w:color="D9D6E0" w:sz="4"/>
              <w:left w:val="single" w:color="D9D6E0" w:sz="4"/>
              <w:bottom w:val="single" w:color="D9D6E0" w:sz="4"/>
              <w:right w:val="single" w:color="D9D6E0" w:sz="4"/>
            </w:tcBorders>
            <w:shd w:fill="FFF8E7" w:color="auto" w:val="clear"/>
            <w:tcMar>
              <w:top w:type="dxa" w:w="70"/>
              <w:left w:type="dxa" w:w="110"/>
              <w:bottom w:type="dxa" w:w="70"/>
              <w:right w:type="dxa" w:w="110"/>
            </w:tcMar>
          </w:tcPr>
          <w:p>
            <w:pPr>
              <w:spacing w:after="0" w:before="0" w:line="276" w:lineRule="auto"/>
            </w:pPr>
            <w:r>
              <w:rPr>
                <w:rFonts w:ascii="Arial" w:cs="Arial" w:eastAsia="Arial" w:hAnsi="Arial"/>
                <w:color w:val="1A1A1F"/>
                <w:sz w:val="20"/>
                <w:szCs w:val="20"/>
              </w:rPr>
              <w:t xml:space="preserve"/>
            </w:r>
          </w:p>
        </w:tc>
      </w:tr>
      <w:tr>
        <w:trPr>
          <w:cantSplit/>
          <w:trHeight w:val="640" w:hRule="atLeast"/>
        </w:trPr>
        <w:tc>
          <w:tcPr>
            <w:tcW w:type="dxa" w:w="3300"/>
            <w:tcBorders>
              <w:top w:val="single" w:color="D9D6E0" w:sz="4"/>
              <w:left w:val="single" w:color="D9D6E0" w:sz="4"/>
              <w:bottom w:val="single" w:color="D9D6E0" w:sz="4"/>
              <w:right w:val="single" w:color="D9D6E0" w:sz="4"/>
            </w:tcBorders>
            <w:tcMar>
              <w:top w:type="dxa" w:w="70"/>
              <w:left w:type="dxa" w:w="110"/>
              <w:bottom w:type="dxa" w:w="70"/>
              <w:right w:type="dxa" w:w="110"/>
            </w:tcMar>
          </w:tcPr>
          <w:p>
            <w:pPr>
              <w:spacing w:after="30" w:before="0" w:line="276" w:lineRule="auto"/>
            </w:pPr>
            <w:r>
              <w:rPr>
                <w:rFonts w:ascii="Arial" w:cs="Arial" w:eastAsia="Arial" w:hAnsi="Arial"/>
                <w:b/>
                <w:bCs/>
                <w:color w:val="1A1A1F"/>
                <w:sz w:val="19"/>
                <w:szCs w:val="19"/>
              </w:rPr>
              <w:t xml:space="preserve">Sales plan</w:t>
            </w:r>
          </w:p>
          <w:p>
            <w:pPr>
              <w:spacing w:after="0" w:before="0" w:line="276" w:lineRule="auto"/>
            </w:pPr>
            <w:r>
              <w:rPr>
                <w:rFonts w:ascii="Arial" w:cs="Arial" w:eastAsia="Arial" w:hAnsi="Arial"/>
                <w:i/>
                <w:iCs/>
                <w:color w:val="5D5D66"/>
                <w:sz w:val="16"/>
                <w:szCs w:val="16"/>
              </w:rPr>
              <w:t xml:space="preserve">Capacity, quotas, enablement.</w:t>
            </w:r>
          </w:p>
        </w:tc>
        <w:tc>
          <w:tcPr>
            <w:tcW w:type="dxa" w:w="6780"/>
            <w:tcBorders>
              <w:top w:val="single" w:color="D9D6E0" w:sz="4"/>
              <w:left w:val="single" w:color="D9D6E0" w:sz="4"/>
              <w:bottom w:val="single" w:color="D9D6E0" w:sz="4"/>
              <w:right w:val="single" w:color="D9D6E0" w:sz="4"/>
            </w:tcBorders>
            <w:shd w:fill="FFF8E7" w:color="auto" w:val="clear"/>
            <w:tcMar>
              <w:top w:type="dxa" w:w="70"/>
              <w:left w:type="dxa" w:w="110"/>
              <w:bottom w:type="dxa" w:w="70"/>
              <w:right w:type="dxa" w:w="110"/>
            </w:tcMar>
          </w:tcPr>
          <w:p>
            <w:pPr>
              <w:spacing w:after="0" w:before="0" w:line="276" w:lineRule="auto"/>
            </w:pPr>
            <w:r>
              <w:rPr>
                <w:rFonts w:ascii="Arial" w:cs="Arial" w:eastAsia="Arial" w:hAnsi="Arial"/>
                <w:color w:val="1A1A1F"/>
                <w:sz w:val="20"/>
                <w:szCs w:val="20"/>
              </w:rPr>
              <w:t xml:space="preserve"/>
            </w:r>
          </w:p>
        </w:tc>
      </w:tr>
      <w:tr>
        <w:trPr>
          <w:cantSplit/>
          <w:trHeight w:val="640" w:hRule="atLeast"/>
        </w:trPr>
        <w:tc>
          <w:tcPr>
            <w:tcW w:type="dxa" w:w="3300"/>
            <w:tcBorders>
              <w:top w:val="single" w:color="D9D6E0" w:sz="4"/>
              <w:left w:val="single" w:color="D9D6E0" w:sz="4"/>
              <w:bottom w:val="single" w:color="D9D6E0" w:sz="4"/>
              <w:right w:val="single" w:color="D9D6E0" w:sz="4"/>
            </w:tcBorders>
            <w:tcMar>
              <w:top w:type="dxa" w:w="70"/>
              <w:left w:type="dxa" w:w="110"/>
              <w:bottom w:type="dxa" w:w="70"/>
              <w:right w:type="dxa" w:w="110"/>
            </w:tcMar>
          </w:tcPr>
          <w:p>
            <w:pPr>
              <w:spacing w:after="0" w:before="0" w:line="276" w:lineRule="auto"/>
            </w:pPr>
            <w:r>
              <w:rPr>
                <w:rFonts w:ascii="Arial" w:cs="Arial" w:eastAsia="Arial" w:hAnsi="Arial"/>
                <w:b/>
                <w:bCs/>
                <w:color w:val="1A1A1F"/>
                <w:sz w:val="19"/>
                <w:szCs w:val="19"/>
              </w:rPr>
              <w:t xml:space="preserve">Launch milestones</w:t>
            </w:r>
          </w:p>
        </w:tc>
        <w:tc>
          <w:tcPr>
            <w:tcW w:type="dxa" w:w="6780"/>
            <w:tcBorders>
              <w:top w:val="single" w:color="D9D6E0" w:sz="4"/>
              <w:left w:val="single" w:color="D9D6E0" w:sz="4"/>
              <w:bottom w:val="single" w:color="D9D6E0" w:sz="4"/>
              <w:right w:val="single" w:color="D9D6E0" w:sz="4"/>
            </w:tcBorders>
            <w:shd w:fill="FFF8E7" w:color="auto" w:val="clear"/>
            <w:tcMar>
              <w:top w:type="dxa" w:w="70"/>
              <w:left w:type="dxa" w:w="110"/>
              <w:bottom w:type="dxa" w:w="70"/>
              <w:right w:type="dxa" w:w="110"/>
            </w:tcMar>
          </w:tcPr>
          <w:p>
            <w:pPr>
              <w:spacing w:after="0" w:before="0" w:line="276" w:lineRule="auto"/>
            </w:pPr>
            <w:r>
              <w:rPr>
                <w:rFonts w:ascii="Arial" w:cs="Arial" w:eastAsia="Arial" w:hAnsi="Arial"/>
                <w:color w:val="1A1A1F"/>
                <w:sz w:val="20"/>
                <w:szCs w:val="20"/>
              </w:rPr>
              <w:t xml:space="preserve"/>
            </w:r>
          </w:p>
        </w:tc>
      </w:tr>
      <w:tr>
        <w:trPr>
          <w:cantSplit/>
          <w:trHeight w:val="640" w:hRule="atLeast"/>
        </w:trPr>
        <w:tc>
          <w:tcPr>
            <w:tcW w:type="dxa" w:w="3300"/>
            <w:tcBorders>
              <w:top w:val="single" w:color="D9D6E0" w:sz="4"/>
              <w:left w:val="single" w:color="D9D6E0" w:sz="4"/>
              <w:bottom w:val="single" w:color="D9D6E0" w:sz="4"/>
              <w:right w:val="single" w:color="D9D6E0" w:sz="4"/>
            </w:tcBorders>
            <w:tcMar>
              <w:top w:type="dxa" w:w="70"/>
              <w:left w:type="dxa" w:w="110"/>
              <w:bottom w:type="dxa" w:w="70"/>
              <w:right w:type="dxa" w:w="110"/>
            </w:tcMar>
          </w:tcPr>
          <w:p>
            <w:pPr>
              <w:spacing w:after="30" w:before="0" w:line="276" w:lineRule="auto"/>
            </w:pPr>
            <w:r>
              <w:rPr>
                <w:rFonts w:ascii="Arial" w:cs="Arial" w:eastAsia="Arial" w:hAnsi="Arial"/>
                <w:b/>
                <w:bCs/>
                <w:color w:val="1A1A1F"/>
                <w:sz w:val="19"/>
                <w:szCs w:val="19"/>
              </w:rPr>
              <w:t xml:space="preserve">Success measures</w:t>
            </w:r>
          </w:p>
          <w:p>
            <w:pPr>
              <w:spacing w:after="0" w:before="0" w:line="276" w:lineRule="auto"/>
            </w:pPr>
            <w:r>
              <w:rPr>
                <w:rFonts w:ascii="Arial" w:cs="Arial" w:eastAsia="Arial" w:hAnsi="Arial"/>
                <w:i/>
                <w:iCs/>
                <w:color w:val="5D5D66"/>
                <w:sz w:val="16"/>
                <w:szCs w:val="16"/>
              </w:rPr>
              <w:t xml:space="preserve">Pipeline, bookings, customers, MRR.</w:t>
            </w:r>
          </w:p>
        </w:tc>
        <w:tc>
          <w:tcPr>
            <w:tcW w:type="dxa" w:w="6780"/>
            <w:tcBorders>
              <w:top w:val="single" w:color="D9D6E0" w:sz="4"/>
              <w:left w:val="single" w:color="D9D6E0" w:sz="4"/>
              <w:bottom w:val="single" w:color="D9D6E0" w:sz="4"/>
              <w:right w:val="single" w:color="D9D6E0" w:sz="4"/>
            </w:tcBorders>
            <w:shd w:fill="FFF8E7" w:color="auto" w:val="clear"/>
            <w:tcMar>
              <w:top w:type="dxa" w:w="70"/>
              <w:left w:type="dxa" w:w="110"/>
              <w:bottom w:type="dxa" w:w="70"/>
              <w:right w:type="dxa" w:w="110"/>
            </w:tcMar>
          </w:tcPr>
          <w:p>
            <w:pPr>
              <w:spacing w:after="0" w:before="0" w:line="276" w:lineRule="auto"/>
            </w:pPr>
            <w:r>
              <w:rPr>
                <w:rFonts w:ascii="Arial" w:cs="Arial" w:eastAsia="Arial" w:hAnsi="Arial"/>
                <w:color w:val="1A1A1F"/>
                <w:sz w:val="20"/>
                <w:szCs w:val="20"/>
              </w:rPr>
              <w:t xml:space="preserve"/>
            </w:r>
          </w:p>
        </w:tc>
      </w:tr>
    </w:tbl>
    <w:p>
      <w:pPr>
        <w:keepNext/>
        <w:spacing w:after="100" w:before="280" w:line="276" w:lineRule="auto"/>
      </w:pPr>
      <w:r>
        <w:rPr>
          <w:rFonts w:ascii="Arial" w:cs="Arial" w:eastAsia="Arial" w:hAnsi="Arial"/>
          <w:b/>
          <w:bCs/>
          <w:color w:val="20004C"/>
          <w:sz w:val="24"/>
          <w:szCs w:val="24"/>
        </w:rPr>
        <w:t xml:space="preserve">Route-to-market considerations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700"/>
        <w:gridCol w:w="7380"/>
      </w:tblGrid>
      <w:tr>
        <w:trPr>
          <w:cantSplit/>
          <w:tblHeader/>
        </w:trPr>
        <w:tc>
          <w:tcPr>
            <w:tcW w:type="dxa" w:w="2700"/>
            <w:tcBorders>
              <w:top w:val="single" w:color="D9D6E0" w:sz="4"/>
              <w:left w:val="single" w:color="D9D6E0" w:sz="4"/>
              <w:bottom w:val="single" w:color="D9D6E0" w:sz="4"/>
              <w:right w:val="single" w:color="D9D6E0" w:sz="4"/>
            </w:tcBorders>
            <w:shd w:fill="20004C" w:color="auto" w:val="clear"/>
            <w:tcMar>
              <w:top w:type="dxa" w:w="70"/>
              <w:left w:type="dxa" w:w="110"/>
              <w:bottom w:type="dxa" w:w="70"/>
              <w:right w:type="dxa" w:w="110"/>
            </w:tcMar>
          </w:tcPr>
          <w:p>
            <w:pPr>
              <w:spacing w:after="0" w:before="0" w:line="276" w:lineRule="auto"/>
            </w:pPr>
            <w:r>
              <w:rPr>
                <w:rFonts w:ascii="Arial" w:cs="Arial" w:eastAsia="Arial" w:hAnsi="Arial"/>
                <w:b/>
                <w:bCs/>
                <w:color w:val="FFFFFF"/>
                <w:sz w:val="17"/>
                <w:szCs w:val="17"/>
              </w:rPr>
              <w:t xml:space="preserve">Route to market</w:t>
            </w:r>
          </w:p>
        </w:tc>
        <w:tc>
          <w:tcPr>
            <w:tcW w:type="dxa" w:w="7380"/>
            <w:tcBorders>
              <w:top w:val="single" w:color="D9D6E0" w:sz="4"/>
              <w:left w:val="single" w:color="D9D6E0" w:sz="4"/>
              <w:bottom w:val="single" w:color="D9D6E0" w:sz="4"/>
              <w:right w:val="single" w:color="D9D6E0" w:sz="4"/>
            </w:tcBorders>
            <w:shd w:fill="20004C" w:color="auto" w:val="clear"/>
            <w:tcMar>
              <w:top w:type="dxa" w:w="70"/>
              <w:left w:type="dxa" w:w="110"/>
              <w:bottom w:type="dxa" w:w="70"/>
              <w:right w:type="dxa" w:w="110"/>
            </w:tcMar>
          </w:tcPr>
          <w:p>
            <w:pPr>
              <w:spacing w:after="0" w:before="0" w:line="276" w:lineRule="auto"/>
            </w:pPr>
            <w:r>
              <w:rPr>
                <w:rFonts w:ascii="Arial" w:cs="Arial" w:eastAsia="Arial" w:hAnsi="Arial"/>
                <w:b/>
                <w:bCs/>
                <w:color w:val="FFFFFF"/>
                <w:sz w:val="17"/>
                <w:szCs w:val="17"/>
              </w:rPr>
              <w:t xml:space="preserve">Key considerations</w:t>
            </w:r>
          </w:p>
        </w:tc>
      </w:tr>
      <w:tr>
        <w:trPr>
          <w:cantSplit/>
        </w:trPr>
        <w:tc>
          <w:tcPr>
            <w:tcW w:type="dxa" w:w="2700"/>
            <w:tcBorders>
              <w:top w:val="single" w:color="D9D6E0" w:sz="4"/>
              <w:left w:val="single" w:color="D9D6E0" w:sz="4"/>
              <w:bottom w:val="single" w:color="D9D6E0" w:sz="4"/>
              <w:right w:val="single" w:color="D9D6E0" w:sz="4"/>
            </w:tcBorders>
            <w:shd w:fill="F5F5F7" w:color="auto" w:val="clear"/>
            <w:tcMar>
              <w:top w:type="dxa" w:w="70"/>
              <w:left w:type="dxa" w:w="110"/>
              <w:bottom w:type="dxa" w:w="70"/>
              <w:right w:type="dxa" w:w="110"/>
            </w:tcMar>
          </w:tcPr>
          <w:p>
            <w:pPr>
              <w:spacing w:after="0" w:before="0" w:line="276" w:lineRule="auto"/>
            </w:pPr>
            <w:r>
              <w:rPr>
                <w:rFonts w:ascii="Arial" w:cs="Arial" w:eastAsia="Arial" w:hAnsi="Arial"/>
                <w:b/>
                <w:bCs/>
                <w:color w:val="1A1A1F"/>
                <w:sz w:val="17"/>
                <w:szCs w:val="17"/>
              </w:rPr>
              <w:t xml:space="preserve">Self-service / digital</w:t>
            </w:r>
          </w:p>
        </w:tc>
        <w:tc>
          <w:tcPr>
            <w:tcW w:type="dxa" w:w="7380"/>
            <w:tcBorders>
              <w:top w:val="single" w:color="D9D6E0" w:sz="4"/>
              <w:left w:val="single" w:color="D9D6E0" w:sz="4"/>
              <w:bottom w:val="single" w:color="D9D6E0" w:sz="4"/>
              <w:right w:val="single" w:color="D9D6E0" w:sz="4"/>
            </w:tcBorders>
            <w:shd w:fill="F5F5F7" w:color="auto" w:val="clear"/>
            <w:tcMar>
              <w:top w:type="dxa" w:w="70"/>
              <w:left w:type="dxa" w:w="110"/>
              <w:bottom w:type="dxa" w:w="70"/>
              <w:right w:type="dxa" w:w="110"/>
            </w:tcMar>
          </w:tcPr>
          <w:p>
            <w:pPr>
              <w:spacing w:after="0" w:before="0" w:line="276" w:lineRule="auto"/>
            </w:pPr>
            <w:r>
              <w:rPr>
                <w:rFonts w:ascii="Arial" w:cs="Arial" w:eastAsia="Arial" w:hAnsi="Arial"/>
                <w:b w:val="false"/>
                <w:bCs w:val="false"/>
                <w:color w:val="1A1A1F"/>
                <w:sz w:val="17"/>
                <w:szCs w:val="17"/>
              </w:rPr>
              <w:t xml:space="preserve">What drives awareness and online demand? What self-service collateral is required? Are there try-to-buy options? Can existing ordering portals be used? Any ordering or customization requirements? What is the order-support plan? How will you understand the order experience?</w:t>
            </w:r>
          </w:p>
        </w:tc>
      </w:tr>
      <w:tr>
        <w:trPr>
          <w:cantSplit/>
        </w:trPr>
        <w:tc>
          <w:tcPr>
            <w:tcW w:type="dxa" w:w="2700"/>
            <w:tcBorders>
              <w:top w:val="single" w:color="D9D6E0" w:sz="4"/>
              <w:left w:val="single" w:color="D9D6E0" w:sz="4"/>
              <w:bottom w:val="single" w:color="D9D6E0" w:sz="4"/>
              <w:right w:val="single" w:color="D9D6E0" w:sz="4"/>
            </w:tcBorders>
            <w:shd w:fill="F5F5F7" w:color="auto" w:val="clear"/>
            <w:tcMar>
              <w:top w:type="dxa" w:w="70"/>
              <w:left w:type="dxa" w:w="110"/>
              <w:bottom w:type="dxa" w:w="70"/>
              <w:right w:type="dxa" w:w="110"/>
            </w:tcMar>
          </w:tcPr>
          <w:p>
            <w:pPr>
              <w:spacing w:after="0" w:before="0" w:line="276" w:lineRule="auto"/>
            </w:pPr>
            <w:r>
              <w:rPr>
                <w:rFonts w:ascii="Arial" w:cs="Arial" w:eastAsia="Arial" w:hAnsi="Arial"/>
                <w:b/>
                <w:bCs/>
                <w:color w:val="1A1A1F"/>
                <w:sz w:val="17"/>
                <w:szCs w:val="17"/>
              </w:rPr>
              <w:t xml:space="preserve">Inside / outside sales</w:t>
            </w:r>
          </w:p>
        </w:tc>
        <w:tc>
          <w:tcPr>
            <w:tcW w:type="dxa" w:w="7380"/>
            <w:tcBorders>
              <w:top w:val="single" w:color="D9D6E0" w:sz="4"/>
              <w:left w:val="single" w:color="D9D6E0" w:sz="4"/>
              <w:bottom w:val="single" w:color="D9D6E0" w:sz="4"/>
              <w:right w:val="single" w:color="D9D6E0" w:sz="4"/>
            </w:tcBorders>
            <w:shd w:fill="F5F5F7" w:color="auto" w:val="clear"/>
            <w:tcMar>
              <w:top w:type="dxa" w:w="70"/>
              <w:left w:type="dxa" w:w="110"/>
              <w:bottom w:type="dxa" w:w="70"/>
              <w:right w:type="dxa" w:w="110"/>
            </w:tcMar>
          </w:tcPr>
          <w:p>
            <w:pPr>
              <w:spacing w:after="0" w:before="0" w:line="276" w:lineRule="auto"/>
            </w:pPr>
            <w:r>
              <w:rPr>
                <w:rFonts w:ascii="Arial" w:cs="Arial" w:eastAsia="Arial" w:hAnsi="Arial"/>
                <w:b w:val="false"/>
                <w:bCs w:val="false"/>
                <w:color w:val="1A1A1F"/>
                <w:sz w:val="17"/>
                <w:szCs w:val="17"/>
              </w:rPr>
              <w:t xml:space="preserve">What sales capacity is required per team? What training and enablement are needed? What demo capabilities exist and how do demos fit the sales process? Are objectives and KPIs set and aligned to the business plan? Are quotas, compensation, and incentives in place?</w:t>
            </w:r>
          </w:p>
        </w:tc>
      </w:tr>
      <w:tr>
        <w:trPr>
          <w:cantSplit/>
        </w:trPr>
        <w:tc>
          <w:tcPr>
            <w:tcW w:type="dxa" w:w="2700"/>
            <w:tcBorders>
              <w:top w:val="single" w:color="D9D6E0" w:sz="4"/>
              <w:left w:val="single" w:color="D9D6E0" w:sz="4"/>
              <w:bottom w:val="single" w:color="D9D6E0" w:sz="4"/>
              <w:right w:val="single" w:color="D9D6E0" w:sz="4"/>
            </w:tcBorders>
            <w:shd w:fill="F5F5F7" w:color="auto" w:val="clear"/>
            <w:tcMar>
              <w:top w:type="dxa" w:w="70"/>
              <w:left w:type="dxa" w:w="110"/>
              <w:bottom w:type="dxa" w:w="70"/>
              <w:right w:type="dxa" w:w="110"/>
            </w:tcMar>
          </w:tcPr>
          <w:p>
            <w:pPr>
              <w:spacing w:after="0" w:before="0" w:line="276" w:lineRule="auto"/>
            </w:pPr>
            <w:r>
              <w:rPr>
                <w:rFonts w:ascii="Arial" w:cs="Arial" w:eastAsia="Arial" w:hAnsi="Arial"/>
                <w:b/>
                <w:bCs/>
                <w:color w:val="1A1A1F"/>
                <w:sz w:val="17"/>
                <w:szCs w:val="17"/>
              </w:rPr>
              <w:t xml:space="preserve">Channels, agents, and business partners</w:t>
            </w:r>
          </w:p>
        </w:tc>
        <w:tc>
          <w:tcPr>
            <w:tcW w:type="dxa" w:w="7380"/>
            <w:tcBorders>
              <w:top w:val="single" w:color="D9D6E0" w:sz="4"/>
              <w:left w:val="single" w:color="D9D6E0" w:sz="4"/>
              <w:bottom w:val="single" w:color="D9D6E0" w:sz="4"/>
              <w:right w:val="single" w:color="D9D6E0" w:sz="4"/>
            </w:tcBorders>
            <w:shd w:fill="F5F5F7" w:color="auto" w:val="clear"/>
            <w:tcMar>
              <w:top w:type="dxa" w:w="70"/>
              <w:left w:type="dxa" w:w="110"/>
              <w:bottom w:type="dxa" w:w="70"/>
              <w:right w:type="dxa" w:w="110"/>
            </w:tcMar>
          </w:tcPr>
          <w:p>
            <w:pPr>
              <w:spacing w:after="0" w:before="0" w:line="276" w:lineRule="auto"/>
            </w:pPr>
            <w:r>
              <w:rPr>
                <w:rFonts w:ascii="Arial" w:cs="Arial" w:eastAsia="Arial" w:hAnsi="Arial"/>
                <w:b w:val="false"/>
                <w:bCs w:val="false"/>
                <w:color w:val="1A1A1F"/>
                <w:sz w:val="17"/>
                <w:szCs w:val="17"/>
              </w:rPr>
              <w:t xml:space="preserve">What channel sales capacity is required? What channel enablement is needed? Are channel incentives tied to the new services? Are special deal registrations required?</w:t>
            </w:r>
          </w:p>
        </w:tc>
      </w:tr>
    </w:tbl>
    <w:p>
      <w:pPr>
        <w:spacing w:after="40" w:before="320" w:line="276" w:lineRule="auto"/>
      </w:pPr>
      <w:r>
        <w:rPr>
          <w:rFonts w:ascii="Arial" w:cs="Arial" w:eastAsia="Arial" w:hAnsi="Arial"/>
          <w:color w:val="5D5D66"/>
          <w:sz w:val="17"/>
          <w:szCs w:val="17"/>
        </w:rPr>
        <w:t xml:space="preserve">Supports Action Plan L3, L1, L11  ·  AMP UP! support: AMP UP! GTM Plan Workshop</w:t>
      </w:r>
    </w:p>
    <w:p>
      <w:pPr>
        <w:spacing w:after="0" w:before="0" w:line="276" w:lineRule="auto"/>
      </w:pPr>
      <w:r>
        <w:rPr>
          <w:rFonts w:ascii="Arial" w:cs="Arial" w:eastAsia="Arial" w:hAnsi="Arial"/>
          <w:color w:val="5D5D66"/>
          <w:sz w:val="17"/>
          <w:szCs w:val="17"/>
        </w:rPr>
        <w:t xml:space="preserve">Guidance and related templates: </w:t>
      </w:r>
      <w:hyperlink w:history="1" r:id="rIdxf5jpvb7s3zsctrsmipkf">
        <w:r>
          <w:rPr>
            <w:rFonts w:ascii="Arial" w:cs="Arial" w:eastAsia="Arial" w:hAnsi="Arial"/>
            <w:color w:val="7519F9"/>
            <w:sz w:val="17"/>
            <w:szCs w:val="17"/>
            <w:u w:val="single"/>
          </w:rPr>
          <w:t xml:space="preserve">playbook.partnerbusinessaccelerator.com/gtm#gtm-plan</w:t>
        </w:r>
      </w:hyperlink>
    </w:p>
    <w:sectPr>
      <w:headerReference w:type="default" r:id="rId7"/>
      <w:footerReference w:type="default" r:id="rId8"/>
      <w:pgSz w:w="12240" w:h="15840" w:orient="portrait"/>
      <w:pgMar w:top="1300" w:right="1080" w:bottom="1000" w:left="1080"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080"/>
      </w:tabs>
    </w:pPr>
    <w:r>
      <w:rPr>
        <w:rFonts w:ascii="Arial" w:cs="Arial" w:eastAsia="Arial" w:hAnsi="Arial"/>
        <w:color w:val="5D5D66"/>
        <w:sz w:val="14"/>
        <w:szCs w:val="14"/>
      </w:rPr>
      <w:t xml:space="preserve">© 2026 Extreme Networks, Inc. and nVision Consulting Group. All rights reserved.</w:t>
    </w:r>
    <w:r>
      <w:rPr>
        <w:rFonts w:ascii="Arial" w:cs="Arial" w:eastAsia="Arial" w:hAnsi="Arial"/>
        <w:color w:val="5D5D66"/>
        <w:sz w:val="14"/>
        <w:szCs w:val="14"/>
      </w:rPr>
      <w:t xml:space="preserve">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10080"/>
      </w:tabs>
    </w:pPr>
    <w:r>
      <w:drawing>
        <wp:inline distT="0" distB="0" distL="0" distR="0">
          <wp:extent cx="1504950" cy="314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504950" cy="314325"/>
                  </a:xfrm>
                  <a:prstGeom prst="rect">
                    <a:avLst/>
                  </a:prstGeom>
                </pic:spPr>
              </pic:pic>
            </a:graphicData>
          </a:graphic>
        </wp:inline>
      </w:drawing>
    </w:r>
    <w:r>
      <w:rPr>
        <w:rFonts w:ascii="Arial" w:cs="Arial" w:eastAsia="Arial" w:hAnsi="Arial"/>
        <w:color w:val="5D5D66"/>
        <w:sz w:val="16"/>
        <w:szCs w:val="16"/>
      </w:rPr>
      <w:t xml:space="preserve">	MSP Practice Playbook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xf5jpvb7s3zsctrsmipkf" Type="http://schemas.openxmlformats.org/officeDocument/2006/relationships/hyperlink" Target="https://playbook.partnerbusinessaccelerator.com/gtm#gtm-plan"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7dd4dc7b276e7b397a8d711de4dee1512fa43a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Go-to-Market Plan and Routes to Market</dc:title>
  <dc:creator>Extreme Networks | nVision Consulting Group</dc:creator>
  <dc:description>Plan how each managed service reaches its target segments: routes to market, messaging, marketing, sales capacity, and launch milestones.</dc:description>
  <cp:lastModifiedBy>Un-named</cp:lastModifiedBy>
  <cp:revision>1</cp:revision>
  <dcterms:created xsi:type="dcterms:W3CDTF">2026-10-15T16:06:25.789Z</dcterms:created>
  <dcterms:modified xsi:type="dcterms:W3CDTF">2026-10-15T16:06:25.789Z</dcterms:modified>
</cp:coreProperties>
</file>

<file path=docProps/custom.xml><?xml version="1.0" encoding="utf-8"?>
<Properties xmlns="http://schemas.openxmlformats.org/officeDocument/2006/custom-properties" xmlns:vt="http://schemas.openxmlformats.org/officeDocument/2006/docPropsVTypes"/>
</file>